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12F3136C"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 xml:space="preserve">GPP TSG </w:t>
      </w:r>
      <w:r w:rsidR="00CD7D6B">
        <w:rPr>
          <w:rFonts w:ascii="Arial" w:hAnsi="Arial" w:cs="Arial"/>
          <w:b/>
          <w:bCs/>
          <w:color w:val="000000" w:themeColor="text1"/>
          <w:sz w:val="28"/>
        </w:rPr>
        <w:t>RAN WG1 Meeting #10</w:t>
      </w:r>
      <w:r w:rsidR="00070917">
        <w:rPr>
          <w:rFonts w:ascii="Arial" w:hAnsi="Arial" w:cs="Arial"/>
          <w:b/>
          <w:bCs/>
          <w:color w:val="000000" w:themeColor="text1"/>
          <w:sz w:val="28"/>
        </w:rPr>
        <w:t>4</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32830" w:rsidRPr="00232830">
        <w:rPr>
          <w:rFonts w:ascii="Arial" w:hAnsi="Arial" w:cs="Arial"/>
          <w:b/>
          <w:bCs/>
          <w:color w:val="000000" w:themeColor="text1"/>
          <w:sz w:val="28"/>
        </w:rPr>
        <w:t>2100825</w:t>
      </w:r>
    </w:p>
    <w:p w14:paraId="31911C50" w14:textId="4810D603"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070917">
        <w:rPr>
          <w:rFonts w:ascii="Arial" w:eastAsia="MS Mincho" w:hAnsi="Arial" w:cs="Arial"/>
          <w:b/>
          <w:bCs/>
          <w:sz w:val="28"/>
          <w:lang w:eastAsia="ja-JP"/>
        </w:rPr>
        <w:t>January</w:t>
      </w:r>
      <w:r w:rsidR="005942D9">
        <w:rPr>
          <w:rFonts w:ascii="Arial" w:eastAsia="MS Mincho" w:hAnsi="Arial" w:cs="Arial"/>
          <w:b/>
          <w:bCs/>
          <w:sz w:val="28"/>
          <w:lang w:eastAsia="ja-JP"/>
        </w:rPr>
        <w:t xml:space="preserve"> 2</w:t>
      </w:r>
      <w:r w:rsidR="00070917">
        <w:rPr>
          <w:rFonts w:ascii="Arial" w:eastAsia="MS Mincho" w:hAnsi="Arial" w:cs="Arial"/>
          <w:b/>
          <w:bCs/>
          <w:sz w:val="28"/>
          <w:lang w:eastAsia="ja-JP"/>
        </w:rPr>
        <w:t>5</w:t>
      </w:r>
      <w:r w:rsidR="005942D9" w:rsidRPr="003B4031">
        <w:rPr>
          <w:rFonts w:ascii="Arial" w:eastAsia="MS Mincho" w:hAnsi="Arial" w:cs="Arial"/>
          <w:b/>
          <w:bCs/>
          <w:sz w:val="28"/>
          <w:vertAlign w:val="superscript"/>
          <w:lang w:eastAsia="ja-JP"/>
        </w:rPr>
        <w:t>th</w:t>
      </w:r>
      <w:r w:rsidR="005942D9">
        <w:rPr>
          <w:rFonts w:ascii="Arial" w:eastAsia="MS Mincho" w:hAnsi="Arial" w:cs="Arial"/>
          <w:b/>
          <w:bCs/>
          <w:sz w:val="28"/>
          <w:lang w:eastAsia="ja-JP"/>
        </w:rPr>
        <w:t xml:space="preserve"> – </w:t>
      </w:r>
      <w:r w:rsidR="00070917">
        <w:rPr>
          <w:rFonts w:ascii="Arial" w:eastAsia="MS Mincho" w:hAnsi="Arial" w:cs="Arial"/>
          <w:b/>
          <w:bCs/>
          <w:sz w:val="28"/>
          <w:lang w:eastAsia="ja-JP"/>
        </w:rPr>
        <w:t>February</w:t>
      </w:r>
      <w:r w:rsidR="005942D9">
        <w:rPr>
          <w:rFonts w:ascii="Arial" w:eastAsia="MS Mincho" w:hAnsi="Arial" w:cs="Arial"/>
          <w:b/>
          <w:bCs/>
          <w:sz w:val="28"/>
          <w:lang w:eastAsia="ja-JP"/>
        </w:rPr>
        <w:t xml:space="preserve"> </w:t>
      </w:r>
      <w:r w:rsidR="00070917">
        <w:rPr>
          <w:rFonts w:ascii="Arial" w:eastAsia="MS Mincho" w:hAnsi="Arial" w:cs="Arial"/>
          <w:b/>
          <w:bCs/>
          <w:sz w:val="28"/>
          <w:lang w:eastAsia="ja-JP"/>
        </w:rPr>
        <w:t>5</w:t>
      </w:r>
      <w:r w:rsidR="005942D9" w:rsidRPr="003B4031">
        <w:rPr>
          <w:rFonts w:ascii="Arial" w:eastAsia="MS Mincho" w:hAnsi="Arial" w:cs="Arial"/>
          <w:b/>
          <w:bCs/>
          <w:sz w:val="28"/>
          <w:vertAlign w:val="superscript"/>
          <w:lang w:eastAsia="ja-JP"/>
        </w:rPr>
        <w:t>th</w:t>
      </w:r>
      <w:r w:rsidR="005942D9">
        <w:rPr>
          <w:rFonts w:ascii="Arial" w:eastAsia="MS Mincho" w:hAnsi="Arial" w:cs="Arial"/>
          <w:b/>
          <w:bCs/>
          <w:sz w:val="28"/>
          <w:lang w:eastAsia="ja-JP"/>
        </w:rPr>
        <w:t>, 2020</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49EAA93"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w:t>
      </w:r>
      <w:r w:rsidR="00CF5EB3">
        <w:rPr>
          <w:rFonts w:hint="eastAsia"/>
          <w:b/>
          <w:color w:val="000000" w:themeColor="text1"/>
          <w:lang w:eastAsia="zh-CN"/>
        </w:rPr>
        <w:t>2</w:t>
      </w:r>
      <w:r>
        <w:rPr>
          <w:b/>
          <w:color w:val="000000" w:themeColor="text1"/>
        </w:rPr>
        <w:t>.</w:t>
      </w:r>
      <w:r w:rsidR="005D48B6">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15C3020D" w:rsidR="00121B70" w:rsidRPr="00CF5EB3" w:rsidRDefault="009631F9" w:rsidP="00CF5EB3">
      <w:pPr>
        <w:spacing w:after="60"/>
        <w:ind w:left="1555" w:hanging="1555"/>
        <w:jc w:val="left"/>
        <w:rPr>
          <w:b/>
          <w:color w:val="000000" w:themeColor="text1"/>
        </w:rPr>
      </w:pPr>
      <w:r w:rsidRPr="003E6680">
        <w:rPr>
          <w:b/>
          <w:color w:val="000000" w:themeColor="text1"/>
        </w:rPr>
        <w:t>Title:</w:t>
      </w:r>
      <w:r w:rsidRPr="003E6680">
        <w:rPr>
          <w:b/>
          <w:color w:val="000000" w:themeColor="text1"/>
        </w:rPr>
        <w:tab/>
      </w:r>
      <w:r w:rsidR="00CF5EB3" w:rsidRPr="00CF5EB3">
        <w:rPr>
          <w:b/>
          <w:color w:val="000000" w:themeColor="text1"/>
        </w:rPr>
        <w:t>Discussion on initial access aspects for NR from 52.6GHz to 71GHz</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82F59D" w14:textId="0D50C861" w:rsidR="00070917" w:rsidRDefault="00532D5E" w:rsidP="00EE77BB">
      <w:pPr>
        <w:rPr>
          <w:lang w:eastAsia="zh-CN"/>
        </w:rPr>
      </w:pPr>
      <w:r>
        <w:rPr>
          <w:lang w:eastAsia="zh-CN"/>
        </w:rPr>
        <w:t xml:space="preserve">This contribution mainly focuses on </w:t>
      </w:r>
      <w:r w:rsidR="00110C1E">
        <w:rPr>
          <w:lang w:eastAsia="zh-CN"/>
        </w:rPr>
        <w:t>initial access for NR from 52.6GHz to 71GHz</w:t>
      </w:r>
      <w:r>
        <w:rPr>
          <w:lang w:eastAsia="zh-CN"/>
        </w:rPr>
        <w:t>.</w:t>
      </w:r>
      <w:r w:rsidR="00B649B4">
        <w:rPr>
          <w:lang w:eastAsia="zh-CN"/>
        </w:rPr>
        <w:t xml:space="preserve"> </w:t>
      </w:r>
      <w:r>
        <w:rPr>
          <w:lang w:eastAsia="zh-CN"/>
        </w:rPr>
        <w:t>In WID [1], the objective related to SSB and initial BWP is shown as follows.</w:t>
      </w:r>
    </w:p>
    <w:tbl>
      <w:tblPr>
        <w:tblStyle w:val="TableGrid"/>
        <w:tblW w:w="0" w:type="auto"/>
        <w:tblLook w:val="04A0" w:firstRow="1" w:lastRow="0" w:firstColumn="1" w:lastColumn="0" w:noHBand="0" w:noVBand="1"/>
      </w:tblPr>
      <w:tblGrid>
        <w:gridCol w:w="9307"/>
      </w:tblGrid>
      <w:tr w:rsidR="00532D5E" w14:paraId="5E2A892D" w14:textId="77777777" w:rsidTr="00E42CCA">
        <w:trPr>
          <w:trHeight w:val="2395"/>
        </w:trPr>
        <w:tc>
          <w:tcPr>
            <w:tcW w:w="9307" w:type="dxa"/>
          </w:tcPr>
          <w:p w14:paraId="20DD6295" w14:textId="77777777" w:rsidR="00532D5E" w:rsidRPr="00532D5E" w:rsidRDefault="00532D5E" w:rsidP="00532D5E">
            <w:pPr>
              <w:numPr>
                <w:ilvl w:val="1"/>
                <w:numId w:val="45"/>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ja-JP"/>
              </w:rPr>
              <w:t>Support of up to 64 SSB beams for licensed and unlicensed operation in this frequency range.</w:t>
            </w:r>
            <w:r w:rsidRPr="00532D5E">
              <w:rPr>
                <w:rFonts w:eastAsia="宋体"/>
                <w:sz w:val="20"/>
                <w:szCs w:val="20"/>
                <w:lang w:val="en-GB" w:eastAsia="zh-CN"/>
              </w:rPr>
              <w:t xml:space="preserve"> </w:t>
            </w:r>
          </w:p>
          <w:p w14:paraId="681BC2CC" w14:textId="77777777" w:rsidR="00532D5E" w:rsidRPr="00532D5E" w:rsidRDefault="00532D5E" w:rsidP="00532D5E">
            <w:pPr>
              <w:numPr>
                <w:ilvl w:val="1"/>
                <w:numId w:val="45"/>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zh-CN"/>
              </w:rPr>
              <w:t>Supports 120kHz SCS for SSB and 120kHz SCS for initial access related signals/channels in an</w:t>
            </w:r>
            <w:r w:rsidRPr="00532D5E">
              <w:rPr>
                <w:rFonts w:eastAsia="宋体"/>
                <w:color w:val="FF0000"/>
                <w:sz w:val="20"/>
                <w:szCs w:val="20"/>
                <w:lang w:val="en-GB" w:eastAsia="zh-CN"/>
              </w:rPr>
              <w:t xml:space="preserve"> </w:t>
            </w:r>
            <w:r w:rsidRPr="00532D5E">
              <w:rPr>
                <w:rFonts w:eastAsia="宋体"/>
                <w:sz w:val="20"/>
                <w:szCs w:val="20"/>
                <w:lang w:val="en-GB" w:eastAsia="zh-CN"/>
              </w:rPr>
              <w:t>initial BWP.</w:t>
            </w:r>
          </w:p>
          <w:p w14:paraId="0C0CEFB1" w14:textId="77777777" w:rsidR="00532D5E" w:rsidRPr="00532D5E" w:rsidRDefault="00532D5E" w:rsidP="00532D5E">
            <w:pPr>
              <w:numPr>
                <w:ilvl w:val="2"/>
                <w:numId w:val="45"/>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(240kHz, 480kHz, 960kHz) for SSB, and additional SCS(480kHz, 960kHz) for initial access related signals/channels in initial BWP.</w:t>
            </w:r>
          </w:p>
          <w:p w14:paraId="67541C22" w14:textId="77777777" w:rsidR="00532D5E" w:rsidRPr="00532D5E" w:rsidRDefault="00532D5E" w:rsidP="00532D5E">
            <w:pPr>
              <w:numPr>
                <w:ilvl w:val="2"/>
                <w:numId w:val="45"/>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(480kHz, 960kHz) for SSB for cases other than initial access.</w:t>
            </w:r>
          </w:p>
          <w:p w14:paraId="35036445" w14:textId="614779DF" w:rsidR="00532D5E" w:rsidRPr="00532D5E" w:rsidRDefault="00532D5E" w:rsidP="00EE77BB">
            <w:pPr>
              <w:numPr>
                <w:ilvl w:val="2"/>
                <w:numId w:val="45"/>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Note: coverage enhancement for SSB is not pursued.</w:t>
            </w:r>
          </w:p>
        </w:tc>
      </w:tr>
    </w:tbl>
    <w:p w14:paraId="0CD05DF6" w14:textId="77777777" w:rsidR="00532D5E" w:rsidRDefault="00532D5E" w:rsidP="00EE77BB">
      <w:pPr>
        <w:rPr>
          <w:lang w:eastAsia="zh-CN"/>
        </w:rPr>
      </w:pPr>
    </w:p>
    <w:p w14:paraId="12657481" w14:textId="565FD6C3" w:rsidR="00B21584" w:rsidRDefault="00B21584" w:rsidP="00EA7570">
      <w:pPr>
        <w:pStyle w:val="Heading1"/>
        <w:rPr>
          <w:lang w:eastAsia="zh-CN"/>
        </w:rPr>
      </w:pPr>
      <w:r>
        <w:rPr>
          <w:lang w:eastAsia="zh-CN"/>
        </w:rPr>
        <w:t>DRS structure</w:t>
      </w:r>
    </w:p>
    <w:p w14:paraId="3F958E37" w14:textId="77777777" w:rsidR="00B21584" w:rsidRPr="00B21584" w:rsidRDefault="00B21584" w:rsidP="00B21584">
      <w:pPr>
        <w:rPr>
          <w:lang w:eastAsia="zh-CN"/>
        </w:rPr>
      </w:pPr>
    </w:p>
    <w:p w14:paraId="1BD49054" w14:textId="22EA5256" w:rsidR="00070917" w:rsidRDefault="00532D5E" w:rsidP="00EA7570">
      <w:pPr>
        <w:pStyle w:val="Heading2"/>
        <w:rPr>
          <w:lang w:eastAsia="zh-CN"/>
        </w:rPr>
      </w:pPr>
      <w:r>
        <w:rPr>
          <w:lang w:eastAsia="zh-CN"/>
        </w:rPr>
        <w:t>Subcarrier spacing of SSB and initial BWP</w:t>
      </w:r>
    </w:p>
    <w:p w14:paraId="0BFEB654" w14:textId="1F56D77D" w:rsidR="00EE77BB" w:rsidRDefault="00532D5E" w:rsidP="00EE77BB">
      <w:pPr>
        <w:rPr>
          <w:lang w:eastAsia="zh-CN"/>
        </w:rPr>
      </w:pPr>
      <w:r>
        <w:rPr>
          <w:lang w:eastAsia="zh-CN"/>
        </w:rPr>
        <w:t>According to WID</w:t>
      </w:r>
      <w:r w:rsidR="00EA7570">
        <w:rPr>
          <w:lang w:eastAsia="zh-CN"/>
        </w:rPr>
        <w:t xml:space="preserve"> objectives shown above</w:t>
      </w:r>
      <w:r>
        <w:rPr>
          <w:lang w:eastAsia="zh-CN"/>
        </w:rPr>
        <w:t>, {120kHz, 120kHz} subcarrier spacing (SCS) combination for {SSB, initial BWP} should be supported as baseline.</w:t>
      </w:r>
      <w:r w:rsidR="00601F39">
        <w:rPr>
          <w:lang w:eastAsia="zh-CN"/>
        </w:rPr>
        <w:t xml:space="preserve"> In our view, SSB with 120kHz SCS has benefit of coverage according to evaluations in </w:t>
      </w:r>
      <w:r w:rsidR="003F6AF9">
        <w:rPr>
          <w:lang w:eastAsia="zh-CN"/>
        </w:rPr>
        <w:t>SI, and reducing UE complexity of cell search.</w:t>
      </w:r>
    </w:p>
    <w:p w14:paraId="2A53318B" w14:textId="3E110A56" w:rsidR="003F6AF9" w:rsidRPr="003F6AF9" w:rsidRDefault="003F6AF9" w:rsidP="003F6AF9">
      <w:pPr>
        <w:rPr>
          <w:b/>
          <w:i/>
          <w:lang w:eastAsia="zh-CN"/>
        </w:rPr>
      </w:pPr>
      <w:r w:rsidRPr="003F6AF9">
        <w:rPr>
          <w:b/>
          <w:i/>
          <w:lang w:eastAsia="zh-CN"/>
        </w:rPr>
        <w:t>Proposal</w:t>
      </w:r>
      <w:r w:rsidR="00EA7570">
        <w:rPr>
          <w:b/>
          <w:i/>
          <w:lang w:eastAsia="zh-CN"/>
        </w:rPr>
        <w:t xml:space="preserve"> 1</w:t>
      </w:r>
      <w:r w:rsidRPr="003F6AF9">
        <w:rPr>
          <w:b/>
          <w:i/>
          <w:lang w:eastAsia="zh-CN"/>
        </w:rPr>
        <w:t>: Support 120kHz SCS for SSB and initial BWP.</w:t>
      </w:r>
    </w:p>
    <w:p w14:paraId="705C6F6B" w14:textId="1455D09B" w:rsidR="003F6AF9" w:rsidRDefault="003F6AF9" w:rsidP="00EE77BB">
      <w:pPr>
        <w:rPr>
          <w:lang w:eastAsia="zh-CN"/>
        </w:rPr>
      </w:pPr>
      <w:r>
        <w:rPr>
          <w:lang w:eastAsia="zh-CN"/>
        </w:rPr>
        <w:t>SSB with 240kHz SCS is also defined for FR2 in R15 and R16. In our view, SSB with 240kHz SCS has benefit of smaller window size of SSB transmission, if the number of candidate SSB positions is unchanged.</w:t>
      </w:r>
      <w:r w:rsidR="00EA7570">
        <w:rPr>
          <w:lang w:eastAsia="zh-CN"/>
        </w:rPr>
        <w:t xml:space="preserve"> The UE complexity of cell search for SSB with 240kHz is acceptable, as specified in R5 and R16.</w:t>
      </w:r>
    </w:p>
    <w:p w14:paraId="6FBCAB6C" w14:textId="092C71F9" w:rsidR="003F6AF9" w:rsidRPr="003F6AF9" w:rsidRDefault="003F6AF9" w:rsidP="00EE77BB">
      <w:pPr>
        <w:rPr>
          <w:b/>
          <w:i/>
          <w:lang w:eastAsia="zh-CN"/>
        </w:rPr>
      </w:pPr>
      <w:r w:rsidRPr="003F6AF9">
        <w:rPr>
          <w:b/>
          <w:i/>
          <w:lang w:eastAsia="zh-CN"/>
        </w:rPr>
        <w:t>Proposal</w:t>
      </w:r>
      <w:r w:rsidR="00B21584">
        <w:rPr>
          <w:b/>
          <w:i/>
          <w:lang w:eastAsia="zh-CN"/>
        </w:rPr>
        <w:t xml:space="preserve"> </w:t>
      </w:r>
      <w:r w:rsidR="00EA7570">
        <w:rPr>
          <w:b/>
          <w:i/>
          <w:lang w:eastAsia="zh-CN"/>
        </w:rPr>
        <w:t>2</w:t>
      </w:r>
      <w:r w:rsidRPr="003F6AF9">
        <w:rPr>
          <w:b/>
          <w:i/>
          <w:lang w:eastAsia="zh-CN"/>
        </w:rPr>
        <w:t>: Support 240kHz SCS for SSB.</w:t>
      </w:r>
    </w:p>
    <w:p w14:paraId="08B9F8D6" w14:textId="77777777" w:rsidR="00532D5E" w:rsidRPr="00532D5E" w:rsidRDefault="00532D5E" w:rsidP="00EE77BB">
      <w:pPr>
        <w:rPr>
          <w:lang w:eastAsia="zh-CN"/>
        </w:rPr>
      </w:pPr>
    </w:p>
    <w:p w14:paraId="3815BEB9" w14:textId="521DB7C9" w:rsidR="00B21584" w:rsidRDefault="00B21584" w:rsidP="00EA7570">
      <w:pPr>
        <w:pStyle w:val="Heading1"/>
        <w:rPr>
          <w:lang w:eastAsia="zh-CN"/>
        </w:rPr>
      </w:pPr>
      <w:r>
        <w:rPr>
          <w:lang w:eastAsia="zh-CN"/>
        </w:rPr>
        <w:t>Initial access procedure</w:t>
      </w:r>
    </w:p>
    <w:p w14:paraId="5920883D" w14:textId="77777777" w:rsidR="00B21584" w:rsidRPr="00B21584" w:rsidRDefault="00B21584" w:rsidP="00B21584">
      <w:pPr>
        <w:rPr>
          <w:lang w:eastAsia="zh-CN"/>
        </w:rPr>
      </w:pPr>
    </w:p>
    <w:p w14:paraId="16E8DE7B" w14:textId="7F73404C" w:rsidR="00070917" w:rsidRDefault="00B21584" w:rsidP="00EA7570">
      <w:pPr>
        <w:pStyle w:val="Heading2"/>
        <w:rPr>
          <w:lang w:eastAsia="zh-CN"/>
        </w:rPr>
      </w:pPr>
      <w:r>
        <w:rPr>
          <w:lang w:eastAsia="zh-CN"/>
        </w:rPr>
        <w:t>Mechanisms</w:t>
      </w:r>
    </w:p>
    <w:p w14:paraId="61B72951" w14:textId="66136CB2" w:rsidR="001F3E0E" w:rsidRDefault="00B21584" w:rsidP="00EE77BB">
      <w:pPr>
        <w:rPr>
          <w:lang w:eastAsia="zh-CN"/>
        </w:rPr>
      </w:pPr>
      <w:r>
        <w:rPr>
          <w:lang w:eastAsia="zh-CN"/>
        </w:rPr>
        <w:t>In R16 NR-U, there are some new mechanisms being defined, e.g. candidate SSB index, SSB (beam) index, discovery burst transmission window</w:t>
      </w:r>
      <w:r>
        <w:rPr>
          <w:rFonts w:hint="eastAsia"/>
          <w:i/>
          <w:lang w:eastAsia="zh-CN"/>
        </w:rPr>
        <w:t>,</w:t>
      </w:r>
      <w:r>
        <w:rPr>
          <w:i/>
          <w:lang w:eastAsia="zh-CN"/>
        </w:rPr>
        <w:t xml:space="preserve"> </w:t>
      </w:r>
      <w:r w:rsidRPr="00B21584">
        <w:rPr>
          <w:i/>
          <w:lang w:eastAsia="zh-CN"/>
        </w:rPr>
        <w:t>ssb-PositionQCL-r16</w:t>
      </w:r>
      <w:r w:rsidR="00E42CCA">
        <w:rPr>
          <w:i/>
          <w:lang w:eastAsia="zh-CN"/>
        </w:rPr>
        <w:t xml:space="preserve">, </w:t>
      </w:r>
      <w:r>
        <w:rPr>
          <w:lang w:eastAsia="zh-CN"/>
        </w:rPr>
        <w:t xml:space="preserve">new interpretation of </w:t>
      </w:r>
      <w:r w:rsidRPr="00B21584">
        <w:rPr>
          <w:i/>
          <w:lang w:eastAsia="zh-CN"/>
        </w:rPr>
        <w:t>ssb-PositionInBurst</w:t>
      </w:r>
      <w:r w:rsidR="00E42CCA">
        <w:rPr>
          <w:i/>
          <w:lang w:eastAsia="zh-CN"/>
        </w:rPr>
        <w:t xml:space="preserve"> </w:t>
      </w:r>
      <w:r w:rsidR="00E42CCA" w:rsidRPr="00E42CCA">
        <w:rPr>
          <w:lang w:eastAsia="zh-CN"/>
        </w:rPr>
        <w:t>and off-raster SSB for cgi report</w:t>
      </w:r>
      <w:r>
        <w:rPr>
          <w:lang w:eastAsia="zh-CN"/>
        </w:rPr>
        <w:t>.</w:t>
      </w:r>
      <w:r w:rsidR="00996A0D">
        <w:rPr>
          <w:lang w:eastAsia="zh-CN"/>
        </w:rPr>
        <w:t xml:space="preserve"> These mechanisms</w:t>
      </w:r>
      <w:r w:rsidR="008F1536">
        <w:rPr>
          <w:lang w:eastAsia="zh-CN"/>
        </w:rPr>
        <w:t xml:space="preserve"> are</w:t>
      </w:r>
      <w:r w:rsidR="00AF6A0E">
        <w:rPr>
          <w:lang w:eastAsia="zh-CN"/>
        </w:rPr>
        <w:t xml:space="preserve"> suitable for unlicensed operation. Therefore, we think these mechanisms can be </w:t>
      </w:r>
      <w:r w:rsidR="00EA7570">
        <w:rPr>
          <w:lang w:eastAsia="zh-CN"/>
        </w:rPr>
        <w:t>kept</w:t>
      </w:r>
      <w:r w:rsidR="00AF6A0E">
        <w:rPr>
          <w:lang w:eastAsia="zh-CN"/>
        </w:rPr>
        <w:t xml:space="preserve"> in unlicensed operation from 52.6GHz to 71GHz.</w:t>
      </w:r>
    </w:p>
    <w:p w14:paraId="25FC093D" w14:textId="67A0A34E" w:rsidR="004142DB" w:rsidRPr="00EA7570" w:rsidRDefault="004142DB" w:rsidP="00EA7570">
      <w:pPr>
        <w:spacing w:beforeLines="50" w:before="120" w:after="0"/>
        <w:rPr>
          <w:b/>
          <w:i/>
          <w:color w:val="000000"/>
        </w:rPr>
      </w:pPr>
      <w:r w:rsidRPr="00EA7570">
        <w:rPr>
          <w:b/>
          <w:i/>
          <w:color w:val="000000"/>
        </w:rPr>
        <w:lastRenderedPageBreak/>
        <w:t xml:space="preserve">Proposal </w:t>
      </w:r>
      <w:r w:rsidR="00EA7570">
        <w:rPr>
          <w:b/>
          <w:i/>
          <w:color w:val="000000"/>
        </w:rPr>
        <w:t>3</w:t>
      </w:r>
      <w:r w:rsidRPr="00EA7570">
        <w:rPr>
          <w:b/>
          <w:i/>
          <w:color w:val="000000"/>
        </w:rPr>
        <w:t xml:space="preserve">: </w:t>
      </w:r>
      <w:r w:rsidR="00EA7570" w:rsidRPr="00EA7570">
        <w:rPr>
          <w:b/>
          <w:i/>
          <w:color w:val="000000"/>
        </w:rPr>
        <w:t xml:space="preserve">The initial access mechanisms for R16 NR-U can be kept, e.g. </w:t>
      </w:r>
      <w:r w:rsidR="00EA7570" w:rsidRPr="00EA7570">
        <w:rPr>
          <w:b/>
          <w:i/>
          <w:lang w:eastAsia="zh-CN"/>
        </w:rPr>
        <w:t>candidate SSB index, SSB (beam) index, discovery burst transmission window</w:t>
      </w:r>
      <w:r w:rsidR="00EA7570" w:rsidRPr="00EA7570">
        <w:rPr>
          <w:rFonts w:hint="eastAsia"/>
          <w:b/>
          <w:i/>
          <w:lang w:eastAsia="zh-CN"/>
        </w:rPr>
        <w:t>,</w:t>
      </w:r>
      <w:r w:rsidR="00EA7570" w:rsidRPr="00EA7570">
        <w:rPr>
          <w:b/>
          <w:i/>
          <w:lang w:eastAsia="zh-CN"/>
        </w:rPr>
        <w:t xml:space="preserve"> ssb-PositionQCL-r16, new interpretation of ssb-PositionInBurst</w:t>
      </w:r>
      <w:r w:rsidR="00E42CCA">
        <w:rPr>
          <w:b/>
          <w:i/>
          <w:lang w:eastAsia="zh-CN"/>
        </w:rPr>
        <w:t xml:space="preserve"> and off-raster SSB for cgi report</w:t>
      </w:r>
      <w:r w:rsidR="00EA7570" w:rsidRPr="00EA7570">
        <w:rPr>
          <w:b/>
          <w:i/>
          <w:lang w:eastAsia="zh-CN"/>
        </w:rPr>
        <w:t>.</w:t>
      </w:r>
    </w:p>
    <w:p w14:paraId="39B3A74D" w14:textId="6E237F68" w:rsidR="00484826" w:rsidRDefault="00EA7570" w:rsidP="00EE77BB">
      <w:pPr>
        <w:rPr>
          <w:lang w:eastAsia="zh-CN"/>
        </w:rPr>
      </w:pPr>
      <w:r>
        <w:rPr>
          <w:lang w:eastAsia="zh-CN"/>
        </w:rPr>
        <w:t>These mechanisms could be further adapted for high frequency, e.g., to support up to 64 SSB beams.</w:t>
      </w:r>
    </w:p>
    <w:p w14:paraId="5798E106" w14:textId="0D019392" w:rsidR="00EA7570" w:rsidRPr="003F6AF9" w:rsidRDefault="00EA7570" w:rsidP="00EA7570">
      <w:pPr>
        <w:rPr>
          <w:b/>
          <w:i/>
          <w:lang w:eastAsia="zh-CN"/>
        </w:rPr>
      </w:pPr>
      <w:r w:rsidRPr="003F6AF9">
        <w:rPr>
          <w:b/>
          <w:i/>
          <w:lang w:eastAsia="zh-CN"/>
        </w:rPr>
        <w:t>Proposal</w:t>
      </w:r>
      <w:r>
        <w:rPr>
          <w:b/>
          <w:i/>
          <w:lang w:eastAsia="zh-CN"/>
        </w:rPr>
        <w:t xml:space="preserve"> 4</w:t>
      </w:r>
      <w:r w:rsidRPr="003F6AF9">
        <w:rPr>
          <w:b/>
          <w:i/>
          <w:lang w:eastAsia="zh-CN"/>
        </w:rPr>
        <w:t xml:space="preserve">: </w:t>
      </w:r>
      <w:r w:rsidRPr="00EA7570">
        <w:rPr>
          <w:b/>
          <w:i/>
          <w:color w:val="000000"/>
        </w:rPr>
        <w:t xml:space="preserve">The initial access mechanisms for R16 NR-U can be </w:t>
      </w:r>
      <w:r>
        <w:rPr>
          <w:b/>
          <w:i/>
          <w:color w:val="000000"/>
        </w:rPr>
        <w:t>further adapted for high frequency, e.g., to support up to 64 SSB beams.</w:t>
      </w:r>
    </w:p>
    <w:p w14:paraId="7C9E7B04" w14:textId="77777777" w:rsidR="00EA7570" w:rsidRPr="004142DB" w:rsidRDefault="00EA7570" w:rsidP="00EE77BB">
      <w:pPr>
        <w:rPr>
          <w:lang w:eastAsia="zh-CN"/>
        </w:rPr>
      </w:pPr>
    </w:p>
    <w:p w14:paraId="1E1D44B8" w14:textId="129AC2FE" w:rsidR="00FD65D8" w:rsidRDefault="004142DB" w:rsidP="00FD65D8">
      <w:pPr>
        <w:pStyle w:val="Heading1"/>
      </w:pPr>
      <w:bookmarkStart w:id="1" w:name="_Ref494215420"/>
      <w:r>
        <w:t>Conclusion</w:t>
      </w:r>
    </w:p>
    <w:p w14:paraId="72DA4613" w14:textId="2FA04039" w:rsidR="004142DB" w:rsidRPr="004142DB" w:rsidRDefault="004142DB" w:rsidP="00330822">
      <w:pPr>
        <w:spacing w:beforeLines="50" w:before="120" w:after="0"/>
        <w:rPr>
          <w:color w:val="000000"/>
          <w:lang w:eastAsia="zh-CN"/>
        </w:rPr>
      </w:pPr>
      <w:r w:rsidRPr="004142DB">
        <w:rPr>
          <w:color w:val="000000"/>
          <w:lang w:eastAsia="zh-CN"/>
        </w:rPr>
        <w:t>We have the following proposals.</w:t>
      </w:r>
    </w:p>
    <w:p w14:paraId="22EE5C3A" w14:textId="26D8D834" w:rsidR="004142DB" w:rsidRDefault="00EA7570" w:rsidP="00330822">
      <w:pPr>
        <w:spacing w:beforeLines="50" w:before="120" w:after="0"/>
        <w:rPr>
          <w:b/>
          <w:i/>
          <w:color w:val="000000"/>
        </w:rPr>
      </w:pPr>
      <w:r w:rsidRPr="003F6AF9">
        <w:rPr>
          <w:b/>
          <w:i/>
          <w:lang w:eastAsia="zh-CN"/>
        </w:rPr>
        <w:t>Proposal</w:t>
      </w:r>
      <w:r>
        <w:rPr>
          <w:b/>
          <w:i/>
          <w:lang w:eastAsia="zh-CN"/>
        </w:rPr>
        <w:t xml:space="preserve"> 1</w:t>
      </w:r>
      <w:r w:rsidRPr="003F6AF9">
        <w:rPr>
          <w:b/>
          <w:i/>
          <w:lang w:eastAsia="zh-CN"/>
        </w:rPr>
        <w:t>: Support 120kHz SCS for SSB and initial BWP.</w:t>
      </w:r>
    </w:p>
    <w:p w14:paraId="494D4C3F" w14:textId="3DF70EEE" w:rsidR="00330822" w:rsidRPr="00A958BA" w:rsidRDefault="00EA7570" w:rsidP="00330822">
      <w:pPr>
        <w:spacing w:beforeLines="50" w:before="120" w:after="0"/>
        <w:rPr>
          <w:b/>
          <w:i/>
          <w:color w:val="000000"/>
        </w:rPr>
      </w:pPr>
      <w:r w:rsidRPr="003F6AF9">
        <w:rPr>
          <w:b/>
          <w:i/>
          <w:lang w:eastAsia="zh-CN"/>
        </w:rPr>
        <w:t>Proposal</w:t>
      </w:r>
      <w:r>
        <w:rPr>
          <w:b/>
          <w:i/>
          <w:lang w:eastAsia="zh-CN"/>
        </w:rPr>
        <w:t xml:space="preserve"> 2</w:t>
      </w:r>
      <w:r w:rsidRPr="003F6AF9">
        <w:rPr>
          <w:b/>
          <w:i/>
          <w:lang w:eastAsia="zh-CN"/>
        </w:rPr>
        <w:t>: Support 240kHz SCS for SSB.</w:t>
      </w:r>
    </w:p>
    <w:p w14:paraId="5BD9715F" w14:textId="23D5E1FA" w:rsidR="00EA7570" w:rsidRDefault="00EA7570" w:rsidP="009849A2">
      <w:pPr>
        <w:spacing w:beforeLines="50" w:before="120" w:after="0"/>
        <w:rPr>
          <w:b/>
          <w:i/>
          <w:lang w:eastAsia="zh-CN"/>
        </w:rPr>
      </w:pPr>
      <w:r w:rsidRPr="00EA7570">
        <w:rPr>
          <w:b/>
          <w:i/>
          <w:color w:val="000000"/>
        </w:rPr>
        <w:t xml:space="preserve">Proposal </w:t>
      </w:r>
      <w:r>
        <w:rPr>
          <w:b/>
          <w:i/>
          <w:color w:val="000000"/>
        </w:rPr>
        <w:t>3</w:t>
      </w:r>
      <w:r w:rsidRPr="00EA7570">
        <w:rPr>
          <w:b/>
          <w:i/>
          <w:color w:val="000000"/>
        </w:rPr>
        <w:t xml:space="preserve">: The initial access mechanisms for R16 NR-U can be kept, e.g. </w:t>
      </w:r>
      <w:r w:rsidRPr="00EA7570">
        <w:rPr>
          <w:b/>
          <w:i/>
          <w:lang w:eastAsia="zh-CN"/>
        </w:rPr>
        <w:t>candidate SSB index, SSB (beam) index, discovery burst transmission window</w:t>
      </w:r>
      <w:r w:rsidRPr="00EA7570">
        <w:rPr>
          <w:rFonts w:hint="eastAsia"/>
          <w:b/>
          <w:i/>
          <w:lang w:eastAsia="zh-CN"/>
        </w:rPr>
        <w:t>,</w:t>
      </w:r>
      <w:r w:rsidRPr="00EA7570">
        <w:rPr>
          <w:b/>
          <w:i/>
          <w:lang w:eastAsia="zh-CN"/>
        </w:rPr>
        <w:t xml:space="preserve"> ssb-PositionQCL-r16, new interpretation of ssb-PositionInBurst</w:t>
      </w:r>
      <w:r w:rsidR="00E42CCA">
        <w:rPr>
          <w:b/>
          <w:i/>
          <w:lang w:eastAsia="zh-CN"/>
        </w:rPr>
        <w:t xml:space="preserve"> and off-raster SSB for cgi report</w:t>
      </w:r>
      <w:r w:rsidRPr="00EA7570">
        <w:rPr>
          <w:b/>
          <w:i/>
          <w:lang w:eastAsia="zh-CN"/>
        </w:rPr>
        <w:t>.</w:t>
      </w:r>
    </w:p>
    <w:p w14:paraId="1F1720F8" w14:textId="7F675477" w:rsidR="00EA7570" w:rsidRPr="003F6AF9" w:rsidRDefault="00EA7570" w:rsidP="00EA7570">
      <w:pPr>
        <w:rPr>
          <w:b/>
          <w:i/>
          <w:lang w:eastAsia="zh-CN"/>
        </w:rPr>
      </w:pPr>
      <w:r w:rsidRPr="003F6AF9">
        <w:rPr>
          <w:b/>
          <w:i/>
          <w:lang w:eastAsia="zh-CN"/>
        </w:rPr>
        <w:t>Proposal</w:t>
      </w:r>
      <w:r>
        <w:rPr>
          <w:b/>
          <w:i/>
          <w:lang w:eastAsia="zh-CN"/>
        </w:rPr>
        <w:t xml:space="preserve"> 4</w:t>
      </w:r>
      <w:r w:rsidRPr="003F6AF9">
        <w:rPr>
          <w:b/>
          <w:i/>
          <w:lang w:eastAsia="zh-CN"/>
        </w:rPr>
        <w:t xml:space="preserve">: </w:t>
      </w:r>
      <w:r w:rsidRPr="00EA7570">
        <w:rPr>
          <w:b/>
          <w:i/>
          <w:color w:val="000000"/>
        </w:rPr>
        <w:t xml:space="preserve">The initial access mechanisms for R16 NR-U can be </w:t>
      </w:r>
      <w:r>
        <w:rPr>
          <w:b/>
          <w:i/>
          <w:color w:val="000000"/>
        </w:rPr>
        <w:t>further adapted for high frequency, e.g., to support up to 64 SSB beams.</w:t>
      </w:r>
    </w:p>
    <w:p w14:paraId="420BFDDD" w14:textId="77777777" w:rsidR="00FD65D8" w:rsidRPr="00FE3933" w:rsidRDefault="00FD65D8"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6C368A9A" w14:textId="6E432112" w:rsidR="007819F1" w:rsidRDefault="00110C1E" w:rsidP="00EA7570">
      <w:pPr>
        <w:pStyle w:val="ListParagraph"/>
        <w:numPr>
          <w:ilvl w:val="0"/>
          <w:numId w:val="27"/>
        </w:numPr>
        <w:ind w:firstLineChars="0"/>
        <w:rPr>
          <w:lang w:eastAsia="zh-CN"/>
        </w:rPr>
      </w:pPr>
      <w:bookmarkStart w:id="2" w:name="OLE_LINK1"/>
      <w:bookmarkStart w:id="3" w:name="OLE_LINK2"/>
      <w:bookmarkEnd w:id="1"/>
      <w:r>
        <w:rPr>
          <w:lang w:eastAsia="zh-CN"/>
        </w:rPr>
        <w:t>RP-202925</w:t>
      </w:r>
      <w:r w:rsidR="009B0BE8">
        <w:rPr>
          <w:lang w:eastAsia="zh-CN"/>
        </w:rPr>
        <w:t>, “</w:t>
      </w:r>
      <w:r w:rsidRPr="00110C1E">
        <w:rPr>
          <w:rFonts w:cs="Arial"/>
        </w:rPr>
        <w:t>Discussion on initial access aspects for NR from 52.6GHz to 71GHz</w:t>
      </w:r>
      <w:r w:rsidR="009B0BE8" w:rsidRPr="00110C1E">
        <w:rPr>
          <w:rFonts w:cs="Arial"/>
        </w:rPr>
        <w:t>”</w:t>
      </w:r>
      <w:r w:rsidR="009B0BE8" w:rsidRPr="0054383A">
        <w:rPr>
          <w:rFonts w:cs="Arial"/>
        </w:rPr>
        <w:t xml:space="preserve">, </w:t>
      </w:r>
      <w:r w:rsidRPr="0054383A">
        <w:rPr>
          <w:rFonts w:cs="Arial"/>
        </w:rPr>
        <w:t>CMCC</w:t>
      </w:r>
      <w:r w:rsidR="009B0BE8" w:rsidRPr="0054383A">
        <w:rPr>
          <w:rFonts w:cs="Arial"/>
        </w:rPr>
        <w:t xml:space="preserve">, </w:t>
      </w:r>
      <w:bookmarkEnd w:id="2"/>
      <w:bookmarkEnd w:id="3"/>
      <w:r w:rsidR="0054383A" w:rsidRPr="0054383A">
        <w:rPr>
          <w:rFonts w:cs="Arial"/>
        </w:rPr>
        <w:t>7-11 December 2020</w:t>
      </w:r>
      <w:r w:rsidR="009B0BE8" w:rsidRPr="0054383A">
        <w:rPr>
          <w:rFonts w:cs="Arial"/>
        </w:rPr>
        <w:t>.</w:t>
      </w:r>
    </w:p>
    <w:sectPr w:rsidR="007819F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A3458" w14:textId="77777777" w:rsidR="00F60F9C" w:rsidRDefault="00F60F9C" w:rsidP="00921B36">
      <w:pPr>
        <w:spacing w:after="0"/>
      </w:pPr>
      <w:r>
        <w:separator/>
      </w:r>
    </w:p>
  </w:endnote>
  <w:endnote w:type="continuationSeparator" w:id="0">
    <w:p w14:paraId="536825BA" w14:textId="77777777" w:rsidR="00F60F9C" w:rsidRDefault="00F60F9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7532E" w14:textId="77777777" w:rsidR="00F60F9C" w:rsidRDefault="00F60F9C" w:rsidP="00921B36">
      <w:pPr>
        <w:spacing w:after="0"/>
      </w:pPr>
      <w:r>
        <w:separator/>
      </w:r>
    </w:p>
  </w:footnote>
  <w:footnote w:type="continuationSeparator" w:id="0">
    <w:p w14:paraId="736D0B40" w14:textId="77777777" w:rsidR="00F60F9C" w:rsidRDefault="00F60F9C"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9A61D8"/>
    <w:multiLevelType w:val="multilevel"/>
    <w:tmpl w:val="129A61D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F014E4"/>
    <w:multiLevelType w:val="multilevel"/>
    <w:tmpl w:val="4E2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7FE2FB8"/>
    <w:multiLevelType w:val="multilevel"/>
    <w:tmpl w:val="C3648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13681C"/>
    <w:multiLevelType w:val="hybridMultilevel"/>
    <w:tmpl w:val="76F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DC00F0"/>
    <w:multiLevelType w:val="hybridMultilevel"/>
    <w:tmpl w:val="E822FD1A"/>
    <w:lvl w:ilvl="0" w:tplc="03B2106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6"/>
  </w:num>
  <w:num w:numId="3">
    <w:abstractNumId w:val="0"/>
  </w:num>
  <w:num w:numId="4">
    <w:abstractNumId w:val="17"/>
  </w:num>
  <w:num w:numId="5">
    <w:abstractNumId w:val="41"/>
  </w:num>
  <w:num w:numId="6">
    <w:abstractNumId w:val="38"/>
  </w:num>
  <w:num w:numId="7">
    <w:abstractNumId w:val="20"/>
  </w:num>
  <w:num w:numId="8">
    <w:abstractNumId w:val="39"/>
  </w:num>
  <w:num w:numId="9">
    <w:abstractNumId w:val="6"/>
  </w:num>
  <w:num w:numId="10">
    <w:abstractNumId w:val="21"/>
  </w:num>
  <w:num w:numId="11">
    <w:abstractNumId w:val="24"/>
  </w:num>
  <w:num w:numId="12">
    <w:abstractNumId w:val="43"/>
  </w:num>
  <w:num w:numId="13">
    <w:abstractNumId w:val="25"/>
  </w:num>
  <w:num w:numId="14">
    <w:abstractNumId w:val="40"/>
  </w:num>
  <w:num w:numId="15">
    <w:abstractNumId w:val="18"/>
  </w:num>
  <w:num w:numId="16">
    <w:abstractNumId w:val="34"/>
  </w:num>
  <w:num w:numId="17">
    <w:abstractNumId w:val="22"/>
  </w:num>
  <w:num w:numId="18">
    <w:abstractNumId w:val="13"/>
  </w:num>
  <w:num w:numId="19">
    <w:abstractNumId w:val="3"/>
  </w:num>
  <w:num w:numId="20">
    <w:abstractNumId w:val="5"/>
  </w:num>
  <w:num w:numId="21">
    <w:abstractNumId w:val="29"/>
  </w:num>
  <w:num w:numId="22">
    <w:abstractNumId w:val="30"/>
  </w:num>
  <w:num w:numId="23">
    <w:abstractNumId w:val="14"/>
  </w:num>
  <w:num w:numId="24">
    <w:abstractNumId w:val="16"/>
  </w:num>
  <w:num w:numId="25">
    <w:abstractNumId w:val="15"/>
  </w:num>
  <w:num w:numId="26">
    <w:abstractNumId w:val="12"/>
  </w:num>
  <w:num w:numId="27">
    <w:abstractNumId w:val="11"/>
  </w:num>
  <w:num w:numId="28">
    <w:abstractNumId w:val="37"/>
  </w:num>
  <w:num w:numId="29">
    <w:abstractNumId w:val="9"/>
  </w:num>
  <w:num w:numId="30">
    <w:abstractNumId w:val="28"/>
  </w:num>
  <w:num w:numId="31">
    <w:abstractNumId w:val="19"/>
  </w:num>
  <w:num w:numId="32">
    <w:abstractNumId w:val="31"/>
  </w:num>
  <w:num w:numId="33">
    <w:abstractNumId w:val="1"/>
  </w:num>
  <w:num w:numId="34">
    <w:abstractNumId w:val="26"/>
  </w:num>
  <w:num w:numId="35">
    <w:abstractNumId w:val="42"/>
  </w:num>
  <w:num w:numId="36">
    <w:abstractNumId w:val="4"/>
  </w:num>
  <w:num w:numId="37">
    <w:abstractNumId w:val="27"/>
  </w:num>
  <w:num w:numId="38">
    <w:abstractNumId w:val="2"/>
  </w:num>
  <w:num w:numId="39">
    <w:abstractNumId w:val="33"/>
  </w:num>
  <w:num w:numId="40">
    <w:abstractNumId w:val="35"/>
  </w:num>
  <w:num w:numId="41">
    <w:abstractNumId w:val="7"/>
  </w:num>
  <w:num w:numId="42">
    <w:abstractNumId w:val="23"/>
  </w:num>
  <w:num w:numId="43">
    <w:abstractNumId w:val="10"/>
  </w:num>
  <w:num w:numId="44">
    <w:abstractNumId w:val="8"/>
  </w:num>
  <w:num w:numId="45">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79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F9C"/>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36"/>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36"/>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626274-58D9-4968-B71F-ED71DEF0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2</cp:revision>
  <cp:lastPrinted>2015-03-27T14:25:00Z</cp:lastPrinted>
  <dcterms:created xsi:type="dcterms:W3CDTF">2021-01-18T11:17:00Z</dcterms:created>
  <dcterms:modified xsi:type="dcterms:W3CDTF">2021-01-18T11:17:00Z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